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numPr>
          <w:ilvl w:val="0"/>
          <w:numId w:val="0"/>
        </w:numPr>
        <w:tabs>
          <w:tab w:val="left" w:pos="284" w:leader="none"/>
          <w:tab w:val="left" w:pos="360" w:leader="none"/>
          <w:tab w:val="left" w:pos="1134" w:leader="none"/>
        </w:tabs>
        <w:spacing w:before="0" w:after="0"/>
        <w:ind w:left="0" w:hanging="0"/>
        <w:jc w:val="center"/>
        <w:rPr>
          <w:rFonts w:ascii="Times New Roman" w:hAnsi="Times New Roman"/>
          <w:sz w:val="23"/>
          <w:szCs w:val="23"/>
        </w:rPr>
      </w:pPr>
      <w:r>
        <w:rPr/>
        <w:drawing>
          <wp:inline distT="0" distB="0" distL="0" distR="0">
            <wp:extent cx="1819275" cy="504825"/>
            <wp:effectExtent l="0" t="0" r="0" b="0"/>
            <wp:docPr id="1" name="Рисунок 3" descr="новая эмб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новая эмбл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Cs/>
          <w:color w:val="000000"/>
          <w:sz w:val="23"/>
          <w:szCs w:val="23"/>
        </w:rPr>
      </w:pPr>
      <w:r>
        <w:rPr>
          <w:bCs/>
          <w:color w:val="000000"/>
          <w:sz w:val="23"/>
          <w:szCs w:val="23"/>
        </w:rPr>
        <w:t>Закупочная комиссия АО «Сахаэнерго» 1-го уровня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Cs/>
          <w:color w:val="000000"/>
          <w:sz w:val="23"/>
          <w:szCs w:val="23"/>
        </w:rPr>
      </w:pPr>
      <w:r>
        <w:rPr>
          <w:bCs/>
          <w:color w:val="000000"/>
          <w:sz w:val="23"/>
          <w:szCs w:val="23"/>
        </w:rPr>
        <w:t>677001, РФ, Республика Саха (Якутия), г. Якутск, пер. Энергетиков 2, тел. (4112) 493578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Cs/>
          <w:color w:val="000000"/>
          <w:sz w:val="23"/>
          <w:szCs w:val="23"/>
        </w:rPr>
      </w:pPr>
      <w:r>
        <w:rPr>
          <w:bCs/>
          <w:color w:val="000000"/>
          <w:sz w:val="23"/>
          <w:szCs w:val="23"/>
          <w:lang w:val="en-US"/>
        </w:rPr>
        <w:t>e</w:t>
      </w:r>
      <w:r>
        <w:rPr>
          <w:bCs/>
          <w:color w:val="000000"/>
          <w:sz w:val="23"/>
          <w:szCs w:val="23"/>
        </w:rPr>
        <w:t>-</w:t>
      </w:r>
      <w:r>
        <w:rPr>
          <w:bCs/>
          <w:color w:val="000000"/>
          <w:sz w:val="23"/>
          <w:szCs w:val="23"/>
          <w:lang w:val="en-US"/>
        </w:rPr>
        <w:t>mail</w:t>
      </w:r>
      <w:r>
        <w:rPr>
          <w:bCs/>
          <w:color w:val="000000"/>
          <w:sz w:val="23"/>
          <w:szCs w:val="23"/>
        </w:rPr>
        <w:t xml:space="preserve">: </w:t>
      </w:r>
      <w:r>
        <w:rPr>
          <w:bCs/>
          <w:color w:val="000000"/>
          <w:sz w:val="23"/>
          <w:szCs w:val="23"/>
          <w:lang w:val="en-US"/>
        </w:rPr>
        <w:t>torg</w:t>
      </w:r>
      <w:r>
        <w:rPr>
          <w:bCs/>
          <w:color w:val="000000"/>
          <w:sz w:val="23"/>
          <w:szCs w:val="23"/>
        </w:rPr>
        <w:t>@</w:t>
      </w:r>
      <w:r>
        <w:rPr>
          <w:bCs/>
          <w:color w:val="000000"/>
          <w:sz w:val="23"/>
          <w:szCs w:val="23"/>
          <w:lang w:val="en-US"/>
        </w:rPr>
        <w:t>sakhaenergo</w:t>
      </w:r>
      <w:r>
        <w:rPr>
          <w:bCs/>
          <w:color w:val="000000"/>
          <w:sz w:val="23"/>
          <w:szCs w:val="23"/>
        </w:rPr>
        <w:t>.</w:t>
      </w:r>
      <w:r>
        <w:rPr>
          <w:bCs/>
          <w:color w:val="000000"/>
          <w:sz w:val="23"/>
          <w:szCs w:val="23"/>
          <w:lang w:val="en-US"/>
        </w:rPr>
        <w:t>ru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Протокол рассмотрения первых частей заявок по аукциону в электронной форме, участниками которого могут быть только субъекты малого и среднего предпринимательства</w:t>
      </w:r>
    </w:p>
    <w:p>
      <w:pPr>
        <w:pStyle w:val="BodyTextIndent2"/>
        <w:tabs>
          <w:tab w:val="clear" w:pos="708"/>
          <w:tab w:val="left" w:pos="284" w:leader="none"/>
          <w:tab w:val="left" w:pos="5844" w:leader="none"/>
        </w:tabs>
        <w:ind w:hanging="0"/>
        <w:rPr>
          <w:bCs/>
          <w:caps/>
          <w:sz w:val="22"/>
          <w:szCs w:val="22"/>
        </w:rPr>
      </w:pPr>
      <w:r>
        <w:rPr>
          <w:bCs/>
          <w:caps/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sz w:val="22"/>
          <w:szCs w:val="22"/>
        </w:rPr>
      </w:pPr>
      <w:r>
        <w:rPr>
          <w:bCs/>
          <w:sz w:val="22"/>
          <w:szCs w:val="22"/>
        </w:rPr>
        <w:t>№</w:t>
      </w:r>
      <w:r>
        <w:rPr>
          <w:bCs/>
          <w:sz w:val="22"/>
          <w:szCs w:val="22"/>
        </w:rPr>
        <w:t>807</w:t>
      </w:r>
      <w:r>
        <w:rPr>
          <w:bCs/>
          <w:sz w:val="22"/>
          <w:szCs w:val="22"/>
        </w:rPr>
        <w:t>01-Р-1</w:t>
        <w:tab/>
        <w:tab/>
        <w:tab/>
        <w:tab/>
        <w:tab/>
        <w:tab/>
        <w:tab/>
        <w:tab/>
        <w:t xml:space="preserve">                                     «</w:t>
      </w:r>
      <w:r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 xml:space="preserve">9» </w:t>
      </w:r>
      <w:r>
        <w:rPr>
          <w:bCs/>
          <w:sz w:val="22"/>
          <w:szCs w:val="22"/>
        </w:rPr>
        <w:t>июня</w:t>
      </w:r>
      <w:r>
        <w:rPr>
          <w:bCs/>
          <w:sz w:val="22"/>
          <w:szCs w:val="22"/>
        </w:rPr>
        <w:t xml:space="preserve"> 2026 г.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г. Якутск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caps/>
          <w:sz w:val="22"/>
          <w:szCs w:val="22"/>
        </w:rPr>
      </w:pPr>
      <w:r>
        <w:rPr>
          <w:bCs/>
          <w:caps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СПОСОБ И ПРЕДМЕТ ЗАКУПКИ</w:t>
      </w:r>
      <w:r>
        <w:rPr>
          <w:b/>
          <w:bCs/>
          <w:sz w:val="22"/>
          <w:szCs w:val="22"/>
        </w:rPr>
        <w:t>:</w:t>
      </w:r>
    </w:p>
    <w:p>
      <w:pPr>
        <w:pStyle w:val="Normal"/>
        <w:spacing w:lineRule="auto" w:line="240"/>
        <w:ind w:hanging="0"/>
        <w:rPr>
          <w:b/>
          <w:sz w:val="22"/>
          <w:szCs w:val="22"/>
        </w:rPr>
      </w:pPr>
      <w:r>
        <w:rPr>
          <w:sz w:val="22"/>
          <w:szCs w:val="22"/>
        </w:rPr>
        <w:t xml:space="preserve">Аукцион в электронной форме, участниками которого могут быть только субъекты малого и среднего предпринимательства на </w:t>
      </w:r>
      <w:r>
        <w:rPr>
          <w:rStyle w:val="Hyperlink"/>
          <w:b/>
          <w:color w:val="auto"/>
          <w:sz w:val="22"/>
          <w:szCs w:val="22"/>
          <w:u w:val="none"/>
        </w:rPr>
        <w:t>поставку песчано-гравийной смеси для ДЭС Бестях, Баханы  ОКПД2 08.12.12.160 (Лот №</w:t>
      </w:r>
      <w:r>
        <w:rPr>
          <w:rStyle w:val="Hyperlink"/>
          <w:rFonts w:eastAsia="Times New Roman" w:cs="Times New Roman"/>
          <w:b/>
          <w:color w:val="auto"/>
          <w:sz w:val="22"/>
          <w:szCs w:val="22"/>
          <w:u w:val="none"/>
          <w:lang w:eastAsia="ru-RU"/>
        </w:rPr>
        <w:t xml:space="preserve"> 80701-РЕМ ПРОД-2026-СахаЭ</w:t>
      </w:r>
      <w:r>
        <w:rPr>
          <w:rStyle w:val="Hyperlink"/>
          <w:rFonts w:eastAsia="Times New Roman" w:cs="Times New Roman"/>
          <w:b/>
          <w:color w:val="auto"/>
          <w:sz w:val="22"/>
          <w:szCs w:val="22"/>
          <w:u w:val="none"/>
          <w:lang w:eastAsia="ru-RU"/>
        </w:rPr>
        <w:t>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для нужд АО «Сахаэнерго». </w:t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rPr>
          <w:sz w:val="22"/>
          <w:szCs w:val="22"/>
        </w:rPr>
      </w:pPr>
      <w:r>
        <w:rPr>
          <w:b/>
          <w:sz w:val="22"/>
          <w:szCs w:val="22"/>
        </w:rPr>
        <w:t>НМЦ ЛОТА (в соответствии с Извещением о закупке):</w:t>
      </w:r>
      <w:r>
        <w:rPr>
          <w:sz w:val="22"/>
          <w:szCs w:val="22"/>
        </w:rPr>
        <w:t xml:space="preserve"> 10 043 047,62 руб., без НДС.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</w:r>
    </w:p>
    <w:p>
      <w:pPr>
        <w:pStyle w:val="Normal"/>
        <w:spacing w:lineRule="auto" w:line="240"/>
        <w:ind w:right="-1" w:hanging="0"/>
        <w:rPr>
          <w:sz w:val="22"/>
          <w:szCs w:val="22"/>
        </w:rPr>
      </w:pPr>
      <w:r>
        <w:rPr>
          <w:b/>
          <w:sz w:val="22"/>
          <w:szCs w:val="22"/>
        </w:rPr>
        <w:t xml:space="preserve">КОЛИЧЕСТВО ПОДАННЫХ ЗАЯВОК НА УЧАСТИЕ В ЗАКУПКЕ: </w:t>
      </w: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>три</w:t>
      </w:r>
      <w:r>
        <w:rPr>
          <w:sz w:val="22"/>
          <w:szCs w:val="22"/>
        </w:rPr>
        <w:t>) заявки.</w:t>
      </w:r>
    </w:p>
    <w:p>
      <w:pPr>
        <w:pStyle w:val="Normal"/>
        <w:spacing w:lineRule="auto" w:line="240"/>
        <w:ind w:right="-1"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240"/>
        <w:ind w:right="-1" w:hanging="0"/>
        <w:rPr>
          <w:sz w:val="22"/>
          <w:szCs w:val="22"/>
        </w:rPr>
      </w:pPr>
      <w:r>
        <w:rPr>
          <w:b/>
          <w:sz w:val="22"/>
          <w:szCs w:val="22"/>
        </w:rPr>
        <w:t>КОЛИЧЕСТВО ОТКЛОНЕННЫХ ЗАЯВОК: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>одна</w:t>
      </w:r>
      <w:r>
        <w:rPr>
          <w:sz w:val="22"/>
          <w:szCs w:val="22"/>
        </w:rPr>
        <w:t>) заявок.</w:t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6"/>
        </w:numPr>
        <w:tabs>
          <w:tab w:val="clear" w:pos="708"/>
          <w:tab w:val="left" w:pos="284" w:leader="none"/>
        </w:tabs>
        <w:ind w:left="0" w:hanging="0"/>
        <w:rPr>
          <w:caps/>
          <w:sz w:val="22"/>
          <w:szCs w:val="22"/>
        </w:rPr>
      </w:pPr>
      <w:r>
        <w:rPr>
          <w:caps/>
          <w:sz w:val="22"/>
          <w:szCs w:val="22"/>
        </w:rPr>
        <w:t xml:space="preserve">О </w:t>
      </w:r>
      <w:r>
        <w:rPr>
          <w:sz w:val="22"/>
          <w:szCs w:val="22"/>
        </w:rPr>
        <w:t>рассмотрении результатов оценки первых частей заявок.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284" w:leader="none"/>
        </w:tabs>
        <w:ind w:left="0" w:hanging="0"/>
        <w:rPr>
          <w:caps/>
          <w:sz w:val="22"/>
          <w:szCs w:val="22"/>
        </w:rPr>
      </w:pPr>
      <w:r>
        <w:rPr>
          <w:sz w:val="22"/>
          <w:szCs w:val="22"/>
        </w:rPr>
        <w:t>Об отклонении заявок Участников.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284" w:leader="none"/>
        </w:tabs>
        <w:ind w:left="0" w:hanging="0"/>
        <w:rPr>
          <w:caps/>
          <w:sz w:val="22"/>
          <w:szCs w:val="22"/>
        </w:rPr>
      </w:pPr>
      <w:r>
        <w:rPr>
          <w:sz w:val="22"/>
          <w:szCs w:val="22"/>
        </w:rPr>
        <w:t>О признании заявок Участников соответствующими условиям Документации о закупке по результатам рассмотрения первых частей заявок.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ВОПРОС №1. </w:t>
      </w:r>
      <w:r>
        <w:rPr>
          <w:b/>
          <w:caps/>
          <w:sz w:val="22"/>
          <w:szCs w:val="22"/>
        </w:rPr>
        <w:t xml:space="preserve">О </w:t>
      </w:r>
      <w:r>
        <w:rPr>
          <w:b/>
          <w:sz w:val="22"/>
          <w:szCs w:val="22"/>
        </w:rPr>
        <w:t>рассмотрении результатов оценки первых частей заявок.</w:t>
      </w:r>
    </w:p>
    <w:p>
      <w:pPr>
        <w:pStyle w:val="Normal"/>
        <w:spacing w:lineRule="auto" w:line="240"/>
        <w:ind w:hanging="0"/>
        <w:rPr>
          <w:b/>
          <w:spacing w:val="4"/>
          <w:sz w:val="22"/>
          <w:szCs w:val="22"/>
        </w:rPr>
      </w:pPr>
      <w:r>
        <w:rPr>
          <w:b/>
          <w:spacing w:val="4"/>
          <w:sz w:val="22"/>
          <w:szCs w:val="22"/>
        </w:rPr>
        <w:t>РЕШИЛИ:</w:t>
      </w:r>
    </w:p>
    <w:p>
      <w:pPr>
        <w:pStyle w:val="25"/>
        <w:keepNext w:val="true"/>
        <w:keepLines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rPr>
          <w:sz w:val="22"/>
          <w:szCs w:val="22"/>
        </w:rPr>
      </w:pPr>
      <w:r>
        <w:rPr>
          <w:sz w:val="22"/>
          <w:szCs w:val="22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keepLines/>
        <w:numPr>
          <w:ilvl w:val="0"/>
          <w:numId w:val="4"/>
        </w:numPr>
        <w:tabs>
          <w:tab w:val="clear" w:pos="708"/>
          <w:tab w:val="left" w:pos="284" w:leader="none"/>
        </w:tabs>
        <w:spacing w:before="0" w:after="120"/>
        <w:ind w:left="0" w:hanging="0"/>
        <w:rPr>
          <w:sz w:val="22"/>
          <w:szCs w:val="22"/>
        </w:rPr>
      </w:pPr>
      <w:r>
        <w:rPr>
          <w:sz w:val="22"/>
          <w:szCs w:val="22"/>
        </w:rPr>
        <w:t>Принять к рассмотрению первые части заявок следующих Участников: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noHBand="0" w:noVBand="0" w:firstColumn="0" w:lastRow="0" w:lastColumn="0" w:firstRow="0"/>
      </w:tblPr>
      <w:tblGrid>
        <w:gridCol w:w="831"/>
        <w:gridCol w:w="5102"/>
        <w:gridCol w:w="4442"/>
      </w:tblGrid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</w:rPr>
              <w:t>Идентификационный номер участника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</w:rPr>
              <w:t>Дата и время регистрации заявки</w:t>
            </w:r>
          </w:p>
        </w:tc>
      </w:tr>
      <w:tr>
        <w:trPr>
          <w:trHeight w:val="145" w:hRule="atLeast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1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Заявка №503960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>
                <w:rFonts w:ascii="Times New Roman" w:hAnsi="Times New Roman" w:eastAsia="Lucida Sans Unicode" w:cs="Tahoma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eastAsia="Lucida Sans Unicode" w:cs="Tahoma"/>
                <w:kern w:val="2"/>
                <w:sz w:val="24"/>
                <w:szCs w:val="24"/>
                <w:lang w:eastAsia="ru-RU" w:bidi="ru-RU"/>
              </w:rPr>
              <w:t>18.06.2026 17:45:31 MCK</w:t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2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Заявка №504030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19.06.2026 06:59:38 MCK</w:t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>
                <w:rFonts w:ascii="Times New Roman" w:hAnsi="Times New Roman" w:eastAsia="Lucida Sans Unicode" w:cs="Tahoma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eastAsia="Lucida Sans Unicode" w:cs="Tahoma"/>
                <w:kern w:val="2"/>
                <w:sz w:val="24"/>
                <w:szCs w:val="24"/>
                <w:lang w:eastAsia="ru-RU" w:bidi="ru-RU"/>
              </w:rPr>
              <w:t>Заявка №504300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>
                <w:rFonts w:ascii="Times New Roman" w:hAnsi="Times New Roman" w:eastAsia="Lucida Sans Unicode" w:cs="Tahoma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eastAsia="Lucida Sans Unicode" w:cs="Tahoma"/>
                <w:kern w:val="2"/>
                <w:sz w:val="24"/>
                <w:szCs w:val="24"/>
                <w:lang w:eastAsia="ru-RU" w:bidi="ru-RU"/>
              </w:rPr>
              <w:t>21.06.2026 15:19:35 MCK</w:t>
            </w:r>
          </w:p>
        </w:tc>
      </w:tr>
    </w:tbl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napToGrid w:val="false"/>
        <w:spacing w:lineRule="auto" w:line="240"/>
        <w:ind w:hanging="0"/>
        <w:rPr>
          <w:b/>
          <w:sz w:val="20"/>
        </w:rPr>
      </w:pPr>
      <w:r>
        <w:rPr>
          <w:b/>
          <w:sz w:val="20"/>
        </w:rPr>
        <w:t>ВОПРОС №2. Об отклонении заявок.</w:t>
      </w:r>
    </w:p>
    <w:p>
      <w:pPr>
        <w:pStyle w:val="Normal"/>
        <w:widowControl w:val="false"/>
        <w:snapToGrid w:val="false"/>
        <w:spacing w:lineRule="auto" w:line="240"/>
        <w:ind w:hanging="0"/>
        <w:rPr>
          <w:b/>
          <w:spacing w:val="4"/>
          <w:sz w:val="20"/>
        </w:rPr>
      </w:pPr>
      <w:r>
        <w:rPr>
          <w:b/>
          <w:spacing w:val="4"/>
          <w:sz w:val="20"/>
        </w:rPr>
        <w:t>РЕШИЛИ: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napToGrid w:val="false"/>
        <w:spacing w:lineRule="auto" w:line="240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  <w:t xml:space="preserve">Отклонить заявку </w:t>
      </w:r>
      <w:r>
        <w:rPr>
          <w:rFonts w:eastAsia="Times New Roman" w:cs="Times New Roman"/>
          <w:b/>
          <w:bCs/>
          <w:sz w:val="22"/>
          <w:szCs w:val="22"/>
          <w:lang w:eastAsia="ru-RU"/>
        </w:rPr>
        <w:t>№ 504030</w:t>
      </w:r>
      <w:r>
        <w:rPr>
          <w:rFonts w:eastAsia="Times New Roman" w:cs="Times New Roman"/>
          <w:sz w:val="22"/>
          <w:szCs w:val="22"/>
          <w:lang w:eastAsia="ru-RU"/>
        </w:rPr>
        <w:t xml:space="preserve"> От дальнейшего рассмотрения на основании  п. 4.9.4 «а» Документации о закупке, как несоответствующую следующим требованиям:</w:t>
      </w:r>
    </w:p>
    <w:tbl>
      <w:tblPr>
        <w:tblW w:w="1034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9780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</w:t>
            </w:r>
            <w:r>
              <w:rPr>
                <w:b/>
                <w:sz w:val="20"/>
                <w:lang w:eastAsia="en-US"/>
              </w:rPr>
              <w:t>п/п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Основания для отклонения</w:t>
            </w:r>
          </w:p>
        </w:tc>
      </w:tr>
      <w:tr>
        <w:trPr>
          <w:trHeight w:val="1119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120"/>
              <w:ind w:firstLine="284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составе закупочной документации Участника  приложен Календарный график в котором дата начала срока поставки не соответствует условиям пункта 2.1.2 пп. 1 Приложения № 1 -Технические требования к документации о закупке.</w:t>
            </w:r>
          </w:p>
          <w:p>
            <w:pPr>
              <w:pStyle w:val="Normal"/>
              <w:widowControl w:val="false"/>
              <w:snapToGrid w:val="false"/>
              <w:spacing w:lineRule="auto" w:line="240" w:before="0" w:after="120"/>
              <w:ind w:firstLine="284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По результатам дополнительного запроса, участник не предоставил ответ.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shd w:fill="FFFF99" w:val="clear"/>
              </w:rPr>
            </w:pPr>
            <w:r>
              <w:rPr>
                <w:b/>
                <w:sz w:val="22"/>
                <w:szCs w:val="24"/>
                <w:lang w:eastAsia="en-US"/>
              </w:rPr>
              <w:t>Указанное несоответствие требованиям документации о закупке является достаточным основанием для отклонения заявки данного участника.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napToGrid w:val="false"/>
        <w:spacing w:lineRule="auto" w:line="240"/>
        <w:ind w:hanging="0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tabs>
          <w:tab w:val="clear" w:pos="708"/>
          <w:tab w:val="left" w:pos="284" w:leader="none"/>
        </w:tabs>
        <w:snapToGrid w:val="false"/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  <w:t>ВОПРОС №3 О признании заявок Участников соответствующими условиям Документации о закупке по результатам рассмотрения первых частей заявок.</w:t>
      </w:r>
    </w:p>
    <w:p>
      <w:pPr>
        <w:pStyle w:val="Normal"/>
        <w:widowControl w:val="false"/>
        <w:spacing w:lineRule="auto" w:line="240"/>
        <w:ind w:hanging="0"/>
        <w:rPr>
          <w:b/>
          <w:spacing w:val="4"/>
          <w:sz w:val="22"/>
          <w:szCs w:val="22"/>
        </w:rPr>
      </w:pPr>
      <w:r>
        <w:rPr>
          <w:b/>
          <w:spacing w:val="4"/>
          <w:sz w:val="22"/>
          <w:szCs w:val="22"/>
        </w:rPr>
        <w:t>РЕШИЛИ:</w:t>
      </w:r>
    </w:p>
    <w:p>
      <w:pPr>
        <w:pStyle w:val="Normal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  <w:t xml:space="preserve">Признать первые части заявок Участников: 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noHBand="0" w:noVBand="0" w:firstColumn="0" w:lastRow="0" w:lastColumn="0" w:firstRow="0"/>
      </w:tblPr>
      <w:tblGrid>
        <w:gridCol w:w="831"/>
        <w:gridCol w:w="5102"/>
        <w:gridCol w:w="4442"/>
      </w:tblGrid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</w:rPr>
              <w:t>Идентифика</w:t>
            </w:r>
            <w:bookmarkStart w:id="0" w:name="_GoBack"/>
            <w:bookmarkEnd w:id="0"/>
            <w:r>
              <w:rPr>
                <w:b/>
              </w:rPr>
              <w:t>ционный номер участника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</w:rPr>
              <w:t>Дата и время регистрации заявки</w:t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1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Заявка №503960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18.06.2026 17:45:31 MCK</w:t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2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Заявка №504300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rPr/>
            </w:pPr>
            <w:r>
              <w:rPr/>
              <w:t>21.06.2026 15:19:35 MCK</w:t>
            </w:r>
          </w:p>
        </w:tc>
      </w:tr>
    </w:tbl>
    <w:p>
      <w:pPr>
        <w:pStyle w:val="Normal"/>
        <w:spacing w:lineRule="auto" w:line="240"/>
        <w:ind w:hanging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</w:r>
    </w:p>
    <w:p>
      <w:pPr>
        <w:pStyle w:val="Normal"/>
        <w:spacing w:lineRule="auto" w:line="240"/>
        <w:ind w:hanging="0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удовлетворяющей по существу условиям Документации о закупке и принять к дальнейшему рассмотрению. </w:t>
      </w:r>
    </w:p>
    <w:p>
      <w:pPr>
        <w:pStyle w:val="Normal"/>
        <w:ind w:hanging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Style w:val="af6"/>
        <w:tblW w:w="105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660"/>
        <w:gridCol w:w="4202"/>
        <w:gridCol w:w="3736"/>
      </w:tblGrid>
      <w:tr>
        <w:trPr/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bidi="ar-SA"/>
              </w:rPr>
              <w:t>Секретарь закупочной комиссии</w:t>
            </w:r>
          </w:p>
        </w:tc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bidi="ar-SA"/>
              </w:rPr>
              <w:t>М.В. Бендорш</w:t>
            </w:r>
          </w:p>
        </w:tc>
      </w:tr>
    </w:tbl>
    <w:p>
      <w:pPr>
        <w:pStyle w:val="Normal"/>
        <w:ind w:hanging="0"/>
        <w:rPr>
          <w:sz w:val="22"/>
          <w:szCs w:val="22"/>
        </w:rPr>
      </w:pPr>
      <w:r>
        <w:rPr/>
      </w:r>
    </w:p>
    <w:sectPr>
      <w:type w:val="nextPage"/>
      <w:pgSz w:w="11906" w:h="16838"/>
      <w:pgMar w:left="851" w:right="680" w:gutter="0" w:header="0" w:top="851" w:footer="0" w:bottom="709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41e48"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qFormat/>
    <w:rsid w:val="00193848"/>
    <w:pPr>
      <w:keepNext w:val="true"/>
      <w:keepLines/>
      <w:pageBreakBefore/>
      <w:tabs>
        <w:tab w:val="clear" w:pos="708"/>
        <w:tab w:val="left" w:pos="1134" w:leader="none"/>
      </w:tabs>
      <w:suppressAutoHyphens w:val="true"/>
      <w:spacing w:lineRule="auto" w:line="240" w:before="480" w:after="240"/>
      <w:ind w:left="1134" w:hanging="1134"/>
      <w:outlineLvl w:val="0"/>
    </w:pPr>
    <w:rPr>
      <w:b/>
      <w:kern w:val="2"/>
      <w:sz w:val="36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6b18c8"/>
    <w:pPr>
      <w:keepNext w:val="true"/>
      <w:numPr>
        <w:ilvl w:val="2"/>
        <w:numId w:val="3"/>
      </w:numPr>
      <w:suppressAutoHyphens w:val="true"/>
      <w:snapToGrid w:val="false"/>
      <w:spacing w:lineRule="auto" w:line="240" w:before="120" w:after="120"/>
      <w:jc w:val="left"/>
      <w:outlineLvl w:val="2"/>
    </w:pPr>
    <w:rPr/>
  </w:style>
  <w:style w:type="paragraph" w:styleId="Heading4">
    <w:name w:val="Heading 4"/>
    <w:basedOn w:val="Normal"/>
    <w:next w:val="Normal"/>
    <w:link w:val="4"/>
    <w:semiHidden/>
    <w:unhideWhenUsed/>
    <w:qFormat/>
    <w:rsid w:val="006b18c8"/>
    <w:pPr>
      <w:keepNext w:val="true"/>
      <w:numPr>
        <w:ilvl w:val="3"/>
        <w:numId w:val="3"/>
      </w:numPr>
      <w:tabs>
        <w:tab w:val="clear" w:pos="708"/>
        <w:tab w:val="left" w:pos="1134" w:leader="none"/>
      </w:tabs>
      <w:suppressAutoHyphens w:val="true"/>
      <w:snapToGrid w:val="false"/>
      <w:spacing w:lineRule="auto" w:line="240" w:before="240" w:after="120"/>
      <w:ind w:left="1134" w:firstLine="567"/>
      <w:outlineLvl w:val="3"/>
    </w:pPr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193848"/>
    <w:rPr>
      <w:rFonts w:ascii="Times New Roman" w:hAnsi="Times New Roman" w:eastAsia="Times New Roman" w:cs="Times New Roman"/>
      <w:b/>
      <w:kern w:val="2"/>
      <w:sz w:val="36"/>
      <w:szCs w:val="20"/>
      <w:lang w:eastAsia="ru-RU"/>
    </w:rPr>
  </w:style>
  <w:style w:type="character" w:styleId="Style6" w:customStyle="1">
    <w:name w:val="комментарий"/>
    <w:qFormat/>
    <w:rsid w:val="00f30ebd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f30ebd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f30ebd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semiHidden/>
    <w:qFormat/>
    <w:rsid w:val="00f30eb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sid w:val="003907a5"/>
    <w:rPr>
      <w:rFonts w:ascii="Times New Roman" w:hAnsi="Times New Roman" w:eastAsia="Times New Roman" w:cs="Times New Roman"/>
      <w:szCs w:val="20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ce415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ce415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ce415d"/>
    <w:rPr>
      <w:rFonts w:ascii="Tahoma" w:hAnsi="Tahoma" w:eastAsia="Times New Roman" w:cs="Tahoma"/>
      <w:sz w:val="16"/>
      <w:szCs w:val="16"/>
      <w:lang w:eastAsia="ru-RU"/>
    </w:rPr>
  </w:style>
  <w:style w:type="character" w:styleId="Emphasis">
    <w:name w:val="Emphasis"/>
    <w:basedOn w:val="DefaultParagraphFont"/>
    <w:uiPriority w:val="20"/>
    <w:qFormat/>
    <w:rsid w:val="00932982"/>
    <w:rPr>
      <w:i/>
      <w:iCs/>
    </w:rPr>
  </w:style>
  <w:style w:type="character" w:styleId="3" w:customStyle="1">
    <w:name w:val="Заголовок 3 Знак"/>
    <w:basedOn w:val="DefaultParagraphFont"/>
    <w:semiHidden/>
    <w:qFormat/>
    <w:rsid w:val="006b18c8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semiHidden/>
    <w:qFormat/>
    <w:rsid w:val="006b18c8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Style12" w:customStyle="1">
    <w:name w:val="Название Знак"/>
    <w:basedOn w:val="DefaultParagraphFont"/>
    <w:qFormat/>
    <w:rsid w:val="00dd58e2"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5d1154"/>
    <w:rPr>
      <w:color w:val="0000FF"/>
      <w:u w:val="single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Style7"/>
    <w:rsid w:val="00f30ebd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f30ebd"/>
    <w:pPr>
      <w:spacing w:lineRule="auto" w:line="240"/>
    </w:pPr>
    <w:rPr>
      <w:szCs w:val="24"/>
    </w:rPr>
  </w:style>
  <w:style w:type="paragraph" w:styleId="Style15" w:customStyle="1">
    <w:name w:val="Обычный+ без отступа"/>
    <w:basedOn w:val="Normal"/>
    <w:qFormat/>
    <w:rsid w:val="00f30ebd"/>
    <w:pPr>
      <w:spacing w:before="120" w:after="0"/>
      <w:ind w:hanging="0"/>
    </w:pPr>
    <w:rPr>
      <w:rFonts w:eastAsia="MS Mincho"/>
      <w:szCs w:val="28"/>
    </w:rPr>
  </w:style>
  <w:style w:type="paragraph" w:styleId="211" w:customStyle="1">
    <w:name w:val="Основной текст 21"/>
    <w:basedOn w:val="Normal"/>
    <w:qFormat/>
    <w:rsid w:val="00f30ebd"/>
    <w:pPr>
      <w:spacing w:lineRule="auto" w:line="240"/>
    </w:pPr>
    <w:rPr>
      <w:sz w:val="24"/>
    </w:rPr>
  </w:style>
  <w:style w:type="paragraph" w:styleId="BodyTextIndent">
    <w:name w:val="Body Text Indent"/>
    <w:basedOn w:val="Normal"/>
    <w:link w:val="Style8"/>
    <w:uiPriority w:val="99"/>
    <w:semiHidden/>
    <w:unhideWhenUsed/>
    <w:rsid w:val="00f30ebd"/>
    <w:pPr>
      <w:spacing w:before="0" w:after="120"/>
      <w:ind w:left="283" w:firstLine="567"/>
    </w:pPr>
    <w:rPr/>
  </w:style>
  <w:style w:type="paragraph" w:styleId="ListParagraph">
    <w:name w:val="List Paragraph"/>
    <w:basedOn w:val="Normal"/>
    <w:uiPriority w:val="34"/>
    <w:qFormat/>
    <w:rsid w:val="002115f5"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1"/>
    <w:qFormat/>
    <w:rsid w:val="003907a5"/>
    <w:pPr>
      <w:widowControl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odyText2">
    <w:name w:val="Body Text 2"/>
    <w:basedOn w:val="Normal"/>
    <w:link w:val="21"/>
    <w:qFormat/>
    <w:rsid w:val="003907a5"/>
    <w:pPr>
      <w:pBdr>
        <w:bottom w:val="single" w:sz="12" w:space="1" w:color="000000"/>
      </w:pBdr>
      <w:spacing w:lineRule="auto" w:line="240"/>
      <w:ind w:hanging="0"/>
    </w:pPr>
    <w:rPr>
      <w:sz w:val="22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e415d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ce415d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ce415d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7" w:customStyle="1">
    <w:name w:val="Таблица шапка"/>
    <w:basedOn w:val="Normal"/>
    <w:qFormat/>
    <w:rsid w:val="00945335"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945335"/>
    <w:pPr>
      <w:spacing w:lineRule="auto" w:line="240"/>
    </w:pPr>
    <w:rPr>
      <w:sz w:val="24"/>
    </w:rPr>
  </w:style>
  <w:style w:type="paragraph" w:styleId="11" w:customStyle="1">
    <w:name w:val="Стиль Заголовок 1 + по ширине"/>
    <w:basedOn w:val="Heading1"/>
    <w:qFormat/>
    <w:rsid w:val="006b18c8"/>
    <w:pPr>
      <w:pageBreakBefore w:val="false"/>
      <w:numPr>
        <w:ilvl w:val="0"/>
        <w:numId w:val="3"/>
      </w:numPr>
      <w:tabs>
        <w:tab w:val="left" w:pos="360" w:leader="none"/>
        <w:tab w:val="left" w:pos="1134" w:leader="none"/>
      </w:tabs>
      <w:ind w:left="0" w:firstLine="567"/>
    </w:pPr>
    <w:rPr>
      <w:rFonts w:ascii="Arial" w:hAnsi="Arial"/>
      <w:bCs/>
      <w:sz w:val="40"/>
    </w:rPr>
  </w:style>
  <w:style w:type="paragraph" w:styleId="Title">
    <w:name w:val="Title"/>
    <w:basedOn w:val="Normal"/>
    <w:link w:val="Style12"/>
    <w:qFormat/>
    <w:rsid w:val="00dd58e2"/>
    <w:pPr>
      <w:spacing w:lineRule="auto" w:line="240"/>
      <w:ind w:hanging="0"/>
      <w:jc w:val="center"/>
    </w:pPr>
    <w:rPr>
      <w:b/>
      <w:smallCaps/>
      <w:sz w:val="32"/>
    </w:rPr>
  </w:style>
  <w:style w:type="paragraph" w:styleId="Default" w:customStyle="1">
    <w:name w:val="Default"/>
    <w:qFormat/>
    <w:rsid w:val="00ed366f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Style18" w:customStyle="1">
    <w:name w:val="Содержимое таблицы"/>
    <w:basedOn w:val="Normal"/>
    <w:qFormat/>
    <w:rsid w:val="0037085a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Style19" w:customStyle="1">
    <w:name w:val="[РГ] Раздел"/>
    <w:basedOn w:val="Normal"/>
    <w:next w:val="Style20"/>
    <w:qFormat/>
    <w:rsid w:val="003e2d08"/>
    <w:pPr>
      <w:keepNext w:val="true"/>
      <w:pageBreakBefore/>
      <w:numPr>
        <w:ilvl w:val="0"/>
        <w:numId w:val="5"/>
      </w:numPr>
      <w:spacing w:lineRule="auto" w:line="240" w:before="0" w:after="360"/>
      <w:outlineLvl w:val="0"/>
    </w:pPr>
    <w:rPr>
      <w:rFonts w:eastAsia="Calibri" w:cs="" w:cstheme="minorBidi" w:eastAsiaTheme="minorHAnsi"/>
      <w:b/>
      <w:bCs/>
      <w:caps/>
      <w:sz w:val="26"/>
      <w:szCs w:val="22"/>
      <w:lang w:eastAsia="en-US"/>
    </w:rPr>
  </w:style>
  <w:style w:type="paragraph" w:styleId="Style20" w:customStyle="1">
    <w:name w:val="[РГ] Подраздел"/>
    <w:basedOn w:val="Normal"/>
    <w:next w:val="Style21"/>
    <w:qFormat/>
    <w:rsid w:val="003e2d08"/>
    <w:pPr>
      <w:keepNext w:val="true"/>
      <w:numPr>
        <w:ilvl w:val="1"/>
        <w:numId w:val="5"/>
      </w:numPr>
      <w:spacing w:lineRule="auto" w:line="240" w:before="360" w:after="0"/>
      <w:outlineLvl w:val="1"/>
    </w:pPr>
    <w:rPr>
      <w:rFonts w:eastAsia="Calibri" w:cs="" w:cstheme="minorBidi" w:eastAsiaTheme="minorHAnsi"/>
      <w:b/>
      <w:bCs/>
      <w:sz w:val="26"/>
      <w:szCs w:val="22"/>
      <w:lang w:eastAsia="en-US"/>
    </w:rPr>
  </w:style>
  <w:style w:type="paragraph" w:styleId="Style21" w:customStyle="1">
    <w:name w:val="[РГ] Пункт"/>
    <w:basedOn w:val="Normal"/>
    <w:qFormat/>
    <w:rsid w:val="003e2d08"/>
    <w:pPr>
      <w:numPr>
        <w:ilvl w:val="2"/>
        <w:numId w:val="5"/>
      </w:numPr>
      <w:spacing w:lineRule="auto" w:line="240" w:before="120" w:after="0"/>
      <w:outlineLvl w:val="2"/>
    </w:pPr>
    <w:rPr>
      <w:rFonts w:eastAsia="Calibri" w:cs="" w:cstheme="minorBidi" w:eastAsiaTheme="minorHAnsi"/>
      <w:sz w:val="26"/>
      <w:szCs w:val="22"/>
      <w:lang w:eastAsia="en-US"/>
    </w:rPr>
  </w:style>
  <w:style w:type="paragraph" w:styleId="Style22" w:customStyle="1">
    <w:name w:val="[РГ] Подпункт"/>
    <w:basedOn w:val="Normal"/>
    <w:qFormat/>
    <w:rsid w:val="003e2d08"/>
    <w:pPr>
      <w:numPr>
        <w:ilvl w:val="3"/>
        <w:numId w:val="5"/>
      </w:numPr>
      <w:spacing w:lineRule="auto" w:line="240" w:before="120" w:after="0"/>
      <w:outlineLvl w:val="3"/>
    </w:pPr>
    <w:rPr>
      <w:rFonts w:eastAsia="Calibri" w:cs="" w:cstheme="minorBidi" w:eastAsiaTheme="minorHAnsi"/>
      <w:sz w:val="26"/>
      <w:szCs w:val="22"/>
      <w:lang w:eastAsia="en-US"/>
    </w:rPr>
  </w:style>
  <w:style w:type="paragraph" w:styleId="Style23" w:customStyle="1">
    <w:name w:val="[РГ] Перечисление"/>
    <w:basedOn w:val="Normal"/>
    <w:qFormat/>
    <w:rsid w:val="003e2d08"/>
    <w:pPr>
      <w:numPr>
        <w:ilvl w:val="4"/>
        <w:numId w:val="5"/>
      </w:numPr>
      <w:spacing w:lineRule="auto" w:line="240" w:before="120" w:after="0"/>
      <w:outlineLvl w:val="4"/>
    </w:pPr>
    <w:rPr>
      <w:rFonts w:eastAsia="Calibri" w:cs="" w:cstheme="minorBidi" w:eastAsiaTheme="minorHAnsi"/>
      <w:sz w:val="26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6"/>
    <w:rsid w:val="00992e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0ADA5-A6B3-42CF-80B8-3818E14B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Application>AlterOffice/2025.3.1.0$Linux_X86_64 LibreOffice_project/431cd1b79110582f53535c95ed0a2449aadc8bf9</Application>
  <AppVersion>15.0000</AppVersion>
  <Pages>2</Pages>
  <Words>350</Words>
  <Characters>2311</Characters>
  <CharactersWithSpaces>2652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2021-09-01T00:47:00Z</dcterms:created>
  <dc:creator>Тулаганова</dc:creator>
  <dc:description/>
  <dc:language>ru-RU</dc:language>
  <cp:lastModifiedBy>bendorshmv@sed.local</cp:lastModifiedBy>
  <cp:lastPrinted>2021-10-19T04:49:00Z</cp:lastPrinted>
  <dcterms:modified xsi:type="dcterms:W3CDTF">2026-06-29T15:42:05Z</dcterms:modified>
  <cp:revision>159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